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32"/>
          <w:szCs w:val="32"/>
          <w:bdr w:val="none" w:color="auto" w:sz="0" w:space="0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32"/>
          <w:szCs w:val="32"/>
          <w:bdr w:val="none" w:color="auto" w:sz="0" w:space="0"/>
          <w:lang w:val="en-US" w:eastAsia="zh-CN"/>
        </w:rPr>
        <w:t>录取查询方法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  <w:bdr w:val="none" w:color="auto" w:sz="0" w:space="0"/>
        </w:rPr>
        <w:t>搜索“东莞理工学院城市学院招生办公室”小程序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200910" cy="2372995"/>
            <wp:effectExtent l="0" t="0" r="8890" b="825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点击查询，进入高考录取查询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185035" cy="3504565"/>
            <wp:effectExtent l="0" t="0" r="571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输入自己的相关信息进行查询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(记得在考生号前加“2144”）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2806065" cy="4962525"/>
            <wp:effectExtent l="0" t="0" r="1333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193A"/>
    <w:rsid w:val="0C4A193A"/>
    <w:rsid w:val="280E0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2016-10-28T09:15:00Z</dcterms:created>
  <dc:creator>Administrator</dc:creator>
  <cp:lastModifiedBy>钊威</cp:lastModifiedBy>
  <dcterms:modified xsi:type="dcterms:W3CDTF">2021-11-08T08:51:54Z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6C0887267EF94F19BFFE277E4DCDD63E</vt:lpwstr>
  </property>
</Properties>
</file>